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57D" w:rsidRPr="00CA6F2E" w14:paraId="469EB7D1" w14:textId="77777777" w:rsidTr="00042609">
        <w:tc>
          <w:tcPr>
            <w:tcW w:w="9016" w:type="dxa"/>
          </w:tcPr>
          <w:p w14:paraId="75953DAD" w14:textId="77777777" w:rsidR="0035557D" w:rsidRPr="0057105E" w:rsidRDefault="0035557D" w:rsidP="00042609">
            <w:pPr>
              <w:rPr>
                <w:b/>
              </w:rPr>
            </w:pPr>
            <w:r w:rsidRPr="0057105E">
              <w:rPr>
                <w:b/>
              </w:rPr>
              <w:t>Section 1 - Identification: Product identifier and chemical identity</w:t>
            </w:r>
          </w:p>
          <w:p w14:paraId="796C003E" w14:textId="77777777" w:rsidR="0035557D" w:rsidRDefault="0035557D" w:rsidP="00042609"/>
          <w:p w14:paraId="3F524807" w14:textId="40A7E24C" w:rsidR="0035557D" w:rsidRDefault="0035557D" w:rsidP="00042609">
            <w:pPr>
              <w:spacing w:after="120"/>
            </w:pPr>
            <w:r w:rsidRPr="00CA6F2E">
              <w:rPr>
                <w:u w:val="single"/>
              </w:rPr>
              <w:t>Product:</w:t>
            </w:r>
            <w:r>
              <w:t xml:space="preserve"> </w:t>
            </w:r>
            <w:r w:rsidR="00C97409">
              <w:t>Coloured Powder (Holi Powder)</w:t>
            </w:r>
          </w:p>
          <w:p w14:paraId="52A217F9" w14:textId="77777777" w:rsidR="0035557D" w:rsidRDefault="0035557D" w:rsidP="00042609">
            <w:pPr>
              <w:spacing w:after="120"/>
            </w:pPr>
            <w:r w:rsidRPr="00CA6F2E">
              <w:rPr>
                <w:u w:val="single"/>
              </w:rPr>
              <w:t>Other Name</w:t>
            </w:r>
            <w:r>
              <w:t>: Corn Starch Powder</w:t>
            </w:r>
          </w:p>
          <w:p w14:paraId="2F7E86B9" w14:textId="77777777" w:rsidR="0035557D" w:rsidRDefault="0035557D" w:rsidP="00042609">
            <w:pPr>
              <w:spacing w:after="120"/>
            </w:pPr>
            <w:r w:rsidRPr="000E07D1">
              <w:rPr>
                <w:u w:val="single"/>
              </w:rPr>
              <w:t>General Use</w:t>
            </w:r>
            <w:r>
              <w:t>: For use in celebrations, colour runs, photo shoots and festivals</w:t>
            </w:r>
          </w:p>
          <w:p w14:paraId="240323D3" w14:textId="77777777" w:rsidR="0035557D" w:rsidRDefault="0035557D" w:rsidP="00042609">
            <w:pPr>
              <w:spacing w:after="120"/>
            </w:pPr>
            <w:r w:rsidRPr="000E07D1">
              <w:rPr>
                <w:u w:val="single"/>
              </w:rPr>
              <w:t>Company Name &amp; Address</w:t>
            </w:r>
            <w:r>
              <w:t>:</w:t>
            </w:r>
          </w:p>
          <w:p w14:paraId="27822D78" w14:textId="77777777" w:rsidR="0035557D" w:rsidRDefault="0035557D" w:rsidP="00042609">
            <w:r>
              <w:t>Stage FX</w:t>
            </w:r>
          </w:p>
          <w:p w14:paraId="481729F0" w14:textId="77777777" w:rsidR="0035557D" w:rsidRDefault="00671166" w:rsidP="00042609">
            <w:r>
              <w:t>1224 Lytton Road</w:t>
            </w:r>
          </w:p>
          <w:p w14:paraId="3BB0B1C2" w14:textId="77777777" w:rsidR="0035557D" w:rsidRDefault="0035557D" w:rsidP="00042609">
            <w:r>
              <w:t>Hemmant, QLD 4174</w:t>
            </w:r>
          </w:p>
          <w:p w14:paraId="04A02397" w14:textId="77777777" w:rsidR="0035557D" w:rsidRDefault="0035557D" w:rsidP="00042609"/>
          <w:p w14:paraId="0E820F9B" w14:textId="77777777" w:rsidR="0035557D" w:rsidRDefault="0035557D" w:rsidP="00042609">
            <w:r w:rsidRPr="000E07D1">
              <w:rPr>
                <w:u w:val="single"/>
              </w:rPr>
              <w:t>Phone Number</w:t>
            </w:r>
            <w:r>
              <w:t>: +617 3348 8089</w:t>
            </w:r>
          </w:p>
          <w:p w14:paraId="2E9D662E" w14:textId="77777777" w:rsidR="0035557D" w:rsidRDefault="0035557D" w:rsidP="00042609"/>
          <w:p w14:paraId="6765C761" w14:textId="77777777" w:rsidR="0035557D" w:rsidRPr="00CA6F2E" w:rsidRDefault="0035557D" w:rsidP="00042609"/>
        </w:tc>
      </w:tr>
      <w:tr w:rsidR="0035557D" w:rsidRPr="00CA6F2E" w14:paraId="78A2711F" w14:textId="77777777" w:rsidTr="00042609">
        <w:tc>
          <w:tcPr>
            <w:tcW w:w="9016" w:type="dxa"/>
          </w:tcPr>
          <w:p w14:paraId="51FEB620" w14:textId="03A14BC3" w:rsidR="0035557D" w:rsidRDefault="0035557D" w:rsidP="00042609">
            <w:pPr>
              <w:spacing w:after="120"/>
              <w:rPr>
                <w:b/>
              </w:rPr>
            </w:pPr>
            <w:r w:rsidRPr="0057105E">
              <w:rPr>
                <w:b/>
              </w:rPr>
              <w:t xml:space="preserve">Section 2 – Hazard(s) identification </w:t>
            </w:r>
          </w:p>
          <w:p w14:paraId="5DE43C9F" w14:textId="2BC92E10" w:rsidR="00C97409" w:rsidRDefault="00C97409" w:rsidP="00042609">
            <w:pPr>
              <w:spacing w:after="120"/>
              <w:rPr>
                <w:b/>
              </w:rPr>
            </w:pPr>
            <w:r>
              <w:rPr>
                <w:b/>
              </w:rPr>
              <w:t>Not Classified as Hazardous according to the Globally Harmonised System of Classification and Labelling of Chemicals (GHS) and Safe Work Australia Criteria.</w:t>
            </w:r>
          </w:p>
          <w:p w14:paraId="5FF8DBBA" w14:textId="0F303A34" w:rsidR="00C97409" w:rsidRPr="0057105E" w:rsidRDefault="00C97409" w:rsidP="00042609">
            <w:pPr>
              <w:spacing w:after="120"/>
              <w:rPr>
                <w:b/>
              </w:rPr>
            </w:pPr>
            <w:r>
              <w:rPr>
                <w:b/>
              </w:rPr>
              <w:t>Not Classified as Dangerous Goods according to A</w:t>
            </w:r>
            <w:r w:rsidR="00F42633">
              <w:rPr>
                <w:b/>
              </w:rPr>
              <w:t xml:space="preserve">ust </w:t>
            </w:r>
            <w:r>
              <w:rPr>
                <w:b/>
              </w:rPr>
              <w:t>C</w:t>
            </w:r>
            <w:r w:rsidR="00F42633">
              <w:rPr>
                <w:b/>
              </w:rPr>
              <w:t xml:space="preserve">ode </w:t>
            </w:r>
            <w:r>
              <w:rPr>
                <w:b/>
              </w:rPr>
              <w:t>T</w:t>
            </w:r>
            <w:r w:rsidR="00F42633">
              <w:rPr>
                <w:b/>
              </w:rPr>
              <w:t>ransport</w:t>
            </w:r>
            <w:r>
              <w:rPr>
                <w:b/>
              </w:rPr>
              <w:t xml:space="preserve"> of Dangerous Goods</w:t>
            </w:r>
          </w:p>
          <w:p w14:paraId="339DC45D" w14:textId="46B5FDA3" w:rsidR="0035557D" w:rsidRDefault="0035557D" w:rsidP="0035557D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57105E">
              <w:rPr>
                <w:u w:val="single"/>
              </w:rPr>
              <w:t>Acute Effect</w:t>
            </w:r>
            <w:r>
              <w:t xml:space="preserve"> </w:t>
            </w:r>
            <w:r w:rsidRPr="0057105E">
              <w:t xml:space="preserve">– Found non-hazardous while getting in contact with skin, eyes and inhalation. </w:t>
            </w:r>
            <w:r w:rsidR="00F42633">
              <w:t>May ca</w:t>
            </w:r>
            <w:r w:rsidR="00225E51">
              <w:t>u</w:t>
            </w:r>
            <w:r w:rsidR="00F42633">
              <w:t>s</w:t>
            </w:r>
            <w:r w:rsidR="00225E51">
              <w:t>e</w:t>
            </w:r>
            <w:r w:rsidR="00F42633">
              <w:t xml:space="preserve"> irritation.</w:t>
            </w:r>
          </w:p>
          <w:p w14:paraId="4682FC5A" w14:textId="28101C16" w:rsidR="0035557D" w:rsidRDefault="0035557D" w:rsidP="0035557D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57105E">
              <w:rPr>
                <w:u w:val="single"/>
              </w:rPr>
              <w:t>Effect on Skin</w:t>
            </w:r>
            <w:r>
              <w:rPr>
                <w:u w:val="single"/>
              </w:rPr>
              <w:t xml:space="preserve"> </w:t>
            </w:r>
            <w:r w:rsidRPr="0057105E">
              <w:t>– Prolonged exposure may result in slight irritation</w:t>
            </w:r>
            <w:r w:rsidR="00225E51">
              <w:t>.</w:t>
            </w:r>
          </w:p>
          <w:p w14:paraId="2A17D6FF" w14:textId="1239314C" w:rsidR="0035557D" w:rsidRDefault="0035557D" w:rsidP="0035557D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57105E">
              <w:rPr>
                <w:u w:val="single"/>
              </w:rPr>
              <w:t>Effect on Eyes</w:t>
            </w:r>
            <w:r>
              <w:rPr>
                <w:u w:val="single"/>
              </w:rPr>
              <w:t xml:space="preserve"> </w:t>
            </w:r>
            <w:r w:rsidRPr="0057105E">
              <w:t>– Prolonged exposure may result in slight irritation</w:t>
            </w:r>
            <w:r w:rsidR="00225E51">
              <w:t>.</w:t>
            </w:r>
          </w:p>
          <w:p w14:paraId="6F9FC75B" w14:textId="5A2FF61D" w:rsidR="0035557D" w:rsidRDefault="0035557D" w:rsidP="0035557D">
            <w:pPr>
              <w:pStyle w:val="ListParagraph"/>
              <w:numPr>
                <w:ilvl w:val="0"/>
                <w:numId w:val="1"/>
              </w:numPr>
              <w:spacing w:after="120"/>
            </w:pPr>
            <w:r w:rsidRPr="0057105E">
              <w:rPr>
                <w:u w:val="single"/>
              </w:rPr>
              <w:t>Ingestion &amp; Inhalation</w:t>
            </w:r>
            <w:r>
              <w:t xml:space="preserve"> </w:t>
            </w:r>
            <w:r w:rsidRPr="0057105E">
              <w:t>– Slight irritation if swallowed &amp;/or inhaled in small quantit</w:t>
            </w:r>
            <w:r w:rsidR="00225E51">
              <w:t>ies</w:t>
            </w:r>
            <w:r w:rsidRPr="0057105E">
              <w:t>.</w:t>
            </w:r>
            <w:r w:rsidR="00547601">
              <w:t xml:space="preserve"> Corn starch is considered a stable diet in some countries.</w:t>
            </w:r>
          </w:p>
          <w:p w14:paraId="5FAFDC47" w14:textId="77777777" w:rsidR="0035557D" w:rsidRPr="0057105E" w:rsidRDefault="0035557D" w:rsidP="00042609">
            <w:pPr>
              <w:pStyle w:val="ListParagraph"/>
              <w:spacing w:after="120"/>
            </w:pPr>
          </w:p>
        </w:tc>
      </w:tr>
      <w:tr w:rsidR="0035557D" w:rsidRPr="00CA6F2E" w14:paraId="39A90CB4" w14:textId="77777777" w:rsidTr="00042609">
        <w:tc>
          <w:tcPr>
            <w:tcW w:w="9016" w:type="dxa"/>
          </w:tcPr>
          <w:p w14:paraId="0ADAB098" w14:textId="77777777" w:rsidR="0035557D" w:rsidRPr="0057105E" w:rsidRDefault="0035557D" w:rsidP="00042609">
            <w:pPr>
              <w:rPr>
                <w:b/>
              </w:rPr>
            </w:pPr>
            <w:r w:rsidRPr="0057105E">
              <w:rPr>
                <w:b/>
              </w:rPr>
              <w:t>Section 3 – Composition</w:t>
            </w:r>
          </w:p>
          <w:p w14:paraId="02B5744A" w14:textId="77777777" w:rsidR="0035557D" w:rsidRPr="0057105E" w:rsidRDefault="0035557D" w:rsidP="0035557D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 w:rsidRPr="0057105E">
              <w:rPr>
                <w:u w:val="single"/>
              </w:rPr>
              <w:t>Corn Starch</w:t>
            </w:r>
          </w:p>
          <w:p w14:paraId="063AEFC9" w14:textId="77777777" w:rsidR="0035557D" w:rsidRPr="0057105E" w:rsidRDefault="0035557D" w:rsidP="00042609">
            <w:pPr>
              <w:spacing w:before="77" w:line="182" w:lineRule="exact"/>
              <w:ind w:left="720" w:right="-567"/>
              <w:rPr>
                <w:rFonts w:cstheme="minorHAnsi"/>
              </w:rPr>
            </w:pPr>
            <w:r w:rsidRPr="0057105E">
              <w:rPr>
                <w:rFonts w:eastAsia="Trebuchet MS" w:cstheme="minorHAnsi"/>
                <w:color w:val="000000"/>
                <w:w w:val="91"/>
              </w:rPr>
              <w:t>CAS No:  9005-25-8</w:t>
            </w:r>
            <w:r w:rsidRPr="0057105E">
              <w:rPr>
                <w:rFonts w:eastAsia="Trebuchet MS" w:cstheme="minorHAnsi"/>
                <w:color w:val="000000"/>
              </w:rPr>
              <w:t>  </w:t>
            </w:r>
          </w:p>
          <w:p w14:paraId="1E0DAEA4" w14:textId="77777777" w:rsidR="0035557D" w:rsidRPr="0057105E" w:rsidRDefault="0035557D" w:rsidP="00042609">
            <w:pPr>
              <w:spacing w:before="79" w:line="182" w:lineRule="exact"/>
              <w:ind w:left="720" w:right="-567"/>
              <w:rPr>
                <w:rFonts w:cstheme="minorHAnsi"/>
              </w:rPr>
            </w:pPr>
            <w:r w:rsidRPr="0057105E">
              <w:rPr>
                <w:rFonts w:eastAsia="Trebuchet MS" w:cstheme="minorHAnsi"/>
                <w:color w:val="000000"/>
                <w:w w:val="95"/>
              </w:rPr>
              <w:t>Percentage:  98.3%</w:t>
            </w:r>
            <w:r w:rsidRPr="0057105E">
              <w:rPr>
                <w:rFonts w:eastAsia="Trebuchet MS" w:cstheme="minorHAnsi"/>
                <w:color w:val="000000"/>
              </w:rPr>
              <w:t>  </w:t>
            </w:r>
          </w:p>
          <w:p w14:paraId="0DF19207" w14:textId="77777777" w:rsidR="0035557D" w:rsidRPr="0057105E" w:rsidRDefault="0035557D" w:rsidP="0035557D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 w:rsidRPr="0057105E">
              <w:rPr>
                <w:u w:val="single"/>
              </w:rPr>
              <w:t>Food Grade Dye</w:t>
            </w:r>
          </w:p>
          <w:p w14:paraId="077BD393" w14:textId="77777777" w:rsidR="0035557D" w:rsidRPr="0057105E" w:rsidRDefault="0035557D" w:rsidP="00042609">
            <w:pPr>
              <w:spacing w:before="59" w:line="202" w:lineRule="exact"/>
              <w:ind w:left="720" w:right="-567"/>
              <w:rPr>
                <w:rFonts w:cstheme="minorHAnsi"/>
              </w:rPr>
            </w:pPr>
            <w:r w:rsidRPr="0057105E">
              <w:rPr>
                <w:rFonts w:eastAsia="Trebuchet MS" w:cstheme="minorHAnsi"/>
                <w:color w:val="000000"/>
                <w:w w:val="95"/>
              </w:rPr>
              <w:t>Percentage:  1.7%</w:t>
            </w:r>
            <w:r w:rsidRPr="0057105E">
              <w:rPr>
                <w:rFonts w:eastAsia="Trebuchet MS" w:cstheme="minorHAnsi"/>
                <w:color w:val="000000"/>
              </w:rPr>
              <w:t> 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35557D" w:rsidRPr="0057105E" w14:paraId="12E7834B" w14:textId="77777777" w:rsidTr="00042609">
              <w:tc>
                <w:tcPr>
                  <w:tcW w:w="2930" w:type="dxa"/>
                </w:tcPr>
                <w:p w14:paraId="34707300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Colour</w:t>
                  </w:r>
                </w:p>
              </w:tc>
              <w:tc>
                <w:tcPr>
                  <w:tcW w:w="2930" w:type="dxa"/>
                </w:tcPr>
                <w:p w14:paraId="58F898DC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CI</w:t>
                  </w:r>
                </w:p>
              </w:tc>
              <w:tc>
                <w:tcPr>
                  <w:tcW w:w="2930" w:type="dxa"/>
                </w:tcPr>
                <w:p w14:paraId="540D078D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CAS No</w:t>
                  </w:r>
                </w:p>
              </w:tc>
            </w:tr>
            <w:tr w:rsidR="0035557D" w14:paraId="0B0A111D" w14:textId="77777777" w:rsidTr="00042609">
              <w:tc>
                <w:tcPr>
                  <w:tcW w:w="2930" w:type="dxa"/>
                </w:tcPr>
                <w:p w14:paraId="56A48A45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Blue</w:t>
                  </w:r>
                </w:p>
              </w:tc>
              <w:tc>
                <w:tcPr>
                  <w:tcW w:w="2930" w:type="dxa"/>
                </w:tcPr>
                <w:p w14:paraId="0159517C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1"/>
                    </w:rPr>
                    <w:t>CI  42090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  <w:tc>
                <w:tcPr>
                  <w:tcW w:w="2930" w:type="dxa"/>
                </w:tcPr>
                <w:p w14:paraId="5A97C269" w14:textId="77777777" w:rsidR="0035557D" w:rsidRPr="0057105E" w:rsidRDefault="0035557D" w:rsidP="00042609">
                  <w:pPr>
                    <w:spacing w:before="117" w:line="182" w:lineRule="exact"/>
                    <w:ind w:right="-567"/>
                    <w:rPr>
                      <w:rFonts w:cstheme="minorHAnsi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2"/>
                    </w:rPr>
                    <w:t>68921 - 42-6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</w:tr>
            <w:tr w:rsidR="0035557D" w14:paraId="29824CFE" w14:textId="77777777" w:rsidTr="00042609">
              <w:tc>
                <w:tcPr>
                  <w:tcW w:w="2930" w:type="dxa"/>
                </w:tcPr>
                <w:p w14:paraId="1C3F31BF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Pink</w:t>
                  </w:r>
                </w:p>
              </w:tc>
              <w:tc>
                <w:tcPr>
                  <w:tcW w:w="2930" w:type="dxa"/>
                </w:tcPr>
                <w:p w14:paraId="3F64264F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89"/>
                    </w:rPr>
                    <w:t>CI  15850 (3)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  <w:tc>
                <w:tcPr>
                  <w:tcW w:w="2930" w:type="dxa"/>
                </w:tcPr>
                <w:p w14:paraId="001E67D7" w14:textId="77777777" w:rsidR="0035557D" w:rsidRPr="0057105E" w:rsidRDefault="0035557D" w:rsidP="00042609">
                  <w:pPr>
                    <w:spacing w:before="123" w:line="182" w:lineRule="exact"/>
                    <w:ind w:right="-567"/>
                    <w:rPr>
                      <w:rFonts w:cstheme="minorHAnsi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5"/>
                    </w:rPr>
                    <w:t>5858-81 - 1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</w:tr>
            <w:tr w:rsidR="0035557D" w14:paraId="6E16AD1E" w14:textId="77777777" w:rsidTr="00042609">
              <w:tc>
                <w:tcPr>
                  <w:tcW w:w="2930" w:type="dxa"/>
                </w:tcPr>
                <w:p w14:paraId="06D0745C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Yellow</w:t>
                  </w:r>
                </w:p>
              </w:tc>
              <w:tc>
                <w:tcPr>
                  <w:tcW w:w="2930" w:type="dxa"/>
                </w:tcPr>
                <w:p w14:paraId="060CA53F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5"/>
                    </w:rPr>
                    <w:t>CI 19140:1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  <w:tc>
                <w:tcPr>
                  <w:tcW w:w="2930" w:type="dxa"/>
                </w:tcPr>
                <w:p w14:paraId="2E2C21BA" w14:textId="77777777" w:rsidR="0035557D" w:rsidRPr="0057105E" w:rsidRDefault="0035557D" w:rsidP="00042609">
                  <w:pPr>
                    <w:spacing w:before="117" w:line="182" w:lineRule="exact"/>
                    <w:ind w:right="-567"/>
                    <w:rPr>
                      <w:rFonts w:cstheme="minorHAnsi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2"/>
                    </w:rPr>
                    <w:t>12225-21 - 7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</w:tr>
            <w:tr w:rsidR="0035557D" w14:paraId="248ADB52" w14:textId="77777777" w:rsidTr="00042609">
              <w:tc>
                <w:tcPr>
                  <w:tcW w:w="2930" w:type="dxa"/>
                </w:tcPr>
                <w:p w14:paraId="76FC3BDA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Orange</w:t>
                  </w:r>
                </w:p>
              </w:tc>
              <w:tc>
                <w:tcPr>
                  <w:tcW w:w="2930" w:type="dxa"/>
                </w:tcPr>
                <w:p w14:paraId="45910006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1"/>
                    </w:rPr>
                    <w:t>CI  15985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  <w:tc>
                <w:tcPr>
                  <w:tcW w:w="2930" w:type="dxa"/>
                </w:tcPr>
                <w:p w14:paraId="66BABA52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7"/>
                    </w:rPr>
                    <w:t>15790 - 07-5/2783 – 94 - 0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</w:tr>
            <w:tr w:rsidR="0035557D" w14:paraId="674D88BE" w14:textId="77777777" w:rsidTr="00042609">
              <w:tc>
                <w:tcPr>
                  <w:tcW w:w="2930" w:type="dxa"/>
                </w:tcPr>
                <w:p w14:paraId="7E0C921B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Green</w:t>
                  </w:r>
                </w:p>
              </w:tc>
              <w:tc>
                <w:tcPr>
                  <w:tcW w:w="2930" w:type="dxa"/>
                </w:tcPr>
                <w:p w14:paraId="434E144A" w14:textId="77777777" w:rsidR="0035557D" w:rsidRPr="0057105E" w:rsidRDefault="0035557D" w:rsidP="00042609">
                  <w:pPr>
                    <w:spacing w:before="120" w:line="182" w:lineRule="exact"/>
                    <w:ind w:right="-567"/>
                    <w:rPr>
                      <w:rFonts w:cstheme="minorHAnsi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2"/>
                    </w:rPr>
                    <w:t>CI  19140/CI  42090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  <w:tc>
                <w:tcPr>
                  <w:tcW w:w="2930" w:type="dxa"/>
                </w:tcPr>
                <w:p w14:paraId="256D25BD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4"/>
                    </w:rPr>
                    <w:t>68921 - 42-6/235 – 428 - 9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</w:tr>
            <w:tr w:rsidR="0035557D" w14:paraId="75075B0F" w14:textId="77777777" w:rsidTr="00042609">
              <w:tc>
                <w:tcPr>
                  <w:tcW w:w="2930" w:type="dxa"/>
                </w:tcPr>
                <w:p w14:paraId="2483CCFF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lastRenderedPageBreak/>
                    <w:t>Purple</w:t>
                  </w:r>
                </w:p>
              </w:tc>
              <w:tc>
                <w:tcPr>
                  <w:tcW w:w="2930" w:type="dxa"/>
                </w:tcPr>
                <w:p w14:paraId="6F5C22A8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2"/>
                    </w:rPr>
                    <w:t>CI  77007/CI  15850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  <w:tc>
                <w:tcPr>
                  <w:tcW w:w="2930" w:type="dxa"/>
                </w:tcPr>
                <w:p w14:paraId="3CAA86EF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5"/>
                    </w:rPr>
                    <w:t>57455 – 37 - 5, 67053 – 79 - 6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</w:tr>
            <w:tr w:rsidR="0035557D" w14:paraId="2AE7D714" w14:textId="77777777" w:rsidTr="00042609">
              <w:tc>
                <w:tcPr>
                  <w:tcW w:w="2930" w:type="dxa"/>
                </w:tcPr>
                <w:p w14:paraId="363D3F4B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  <w:t>Red</w:t>
                  </w:r>
                </w:p>
              </w:tc>
              <w:tc>
                <w:tcPr>
                  <w:tcW w:w="2930" w:type="dxa"/>
                </w:tcPr>
                <w:p w14:paraId="66B1E900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85"/>
                    </w:rPr>
                    <w:t>CI  16035  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  <w:tc>
                <w:tcPr>
                  <w:tcW w:w="2930" w:type="dxa"/>
                </w:tcPr>
                <w:p w14:paraId="52448D26" w14:textId="77777777" w:rsidR="0035557D" w:rsidRPr="0057105E" w:rsidRDefault="0035557D" w:rsidP="00042609">
                  <w:pPr>
                    <w:spacing w:before="147" w:line="182" w:lineRule="exact"/>
                    <w:ind w:right="-567"/>
                    <w:rPr>
                      <w:rFonts w:eastAsia="Arial" w:cstheme="minorHAnsi"/>
                      <w:b/>
                      <w:bCs/>
                      <w:color w:val="000000"/>
                      <w:w w:val="91"/>
                    </w:rPr>
                  </w:pPr>
                  <w:r w:rsidRPr="0057105E">
                    <w:rPr>
                      <w:rFonts w:eastAsia="Trebuchet MS" w:cstheme="minorHAnsi"/>
                      <w:color w:val="000000"/>
                      <w:w w:val="92"/>
                    </w:rPr>
                    <w:t>25956 – 17 - 6  </w:t>
                  </w:r>
                  <w:r w:rsidRPr="0057105E">
                    <w:rPr>
                      <w:rFonts w:eastAsia="Trebuchet MS" w:cstheme="minorHAnsi"/>
                      <w:color w:val="000000"/>
                    </w:rPr>
                    <w:t>  </w:t>
                  </w:r>
                </w:p>
              </w:tc>
            </w:tr>
          </w:tbl>
          <w:p w14:paraId="1B32DFCD" w14:textId="77777777" w:rsidR="0035557D" w:rsidRDefault="0035557D" w:rsidP="00042609"/>
          <w:p w14:paraId="09C08488" w14:textId="77777777" w:rsidR="0035557D" w:rsidRDefault="0035557D" w:rsidP="00042609"/>
        </w:tc>
      </w:tr>
      <w:tr w:rsidR="0035557D" w:rsidRPr="00CA6F2E" w14:paraId="1FEBD240" w14:textId="77777777" w:rsidTr="00042609">
        <w:tc>
          <w:tcPr>
            <w:tcW w:w="9016" w:type="dxa"/>
          </w:tcPr>
          <w:p w14:paraId="2559312E" w14:textId="77777777" w:rsidR="0035557D" w:rsidRDefault="0035557D" w:rsidP="00042609">
            <w:pPr>
              <w:spacing w:after="120"/>
              <w:rPr>
                <w:b/>
              </w:rPr>
            </w:pPr>
            <w:r w:rsidRPr="0057105E">
              <w:rPr>
                <w:b/>
              </w:rPr>
              <w:lastRenderedPageBreak/>
              <w:t>Section 4 - First-Aid Measures</w:t>
            </w:r>
          </w:p>
          <w:p w14:paraId="69C078BE" w14:textId="77777777" w:rsidR="0035557D" w:rsidRPr="0057105E" w:rsidRDefault="0035557D" w:rsidP="00042609">
            <w:pPr>
              <w:spacing w:after="120"/>
              <w:rPr>
                <w:b/>
              </w:rPr>
            </w:pPr>
          </w:p>
          <w:p w14:paraId="17E4F25C" w14:textId="77777777" w:rsidR="0035557D" w:rsidRDefault="0035557D" w:rsidP="0035557D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57105E">
              <w:rPr>
                <w:u w:val="single"/>
              </w:rPr>
              <w:t>Skin Contact</w:t>
            </w:r>
            <w:r>
              <w:t xml:space="preserve"> - </w:t>
            </w:r>
            <w:r w:rsidRPr="0057105E">
              <w:t>Wash exposed area with mild soap &amp; warm water until the colour is removed. Get medical attention immediately if irritation persists</w:t>
            </w:r>
          </w:p>
          <w:p w14:paraId="45326506" w14:textId="0DB85C5F" w:rsidR="0035557D" w:rsidRDefault="0035557D" w:rsidP="0035557D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57105E">
              <w:rPr>
                <w:u w:val="single"/>
              </w:rPr>
              <w:t>Eye Contact</w:t>
            </w:r>
            <w:r>
              <w:t xml:space="preserve"> - </w:t>
            </w:r>
            <w:r w:rsidRPr="0057105E">
              <w:t>Wash eyes with water for some time until irritation subside</w:t>
            </w:r>
            <w:r w:rsidR="00225E51">
              <w:t>s</w:t>
            </w:r>
            <w:r w:rsidRPr="0057105E">
              <w:t xml:space="preserve">. Ensure thorough cleansing and avoid contact lenses during </w:t>
            </w:r>
            <w:r w:rsidR="00225E51">
              <w:t>usage</w:t>
            </w:r>
            <w:r w:rsidRPr="0057105E">
              <w:t>. Get medical attention immediately if irritation persists.</w:t>
            </w:r>
          </w:p>
          <w:p w14:paraId="395A7A76" w14:textId="77777777" w:rsidR="0035557D" w:rsidRDefault="0035557D" w:rsidP="0035557D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57105E">
              <w:rPr>
                <w:u w:val="single"/>
              </w:rPr>
              <w:t>Inhalation</w:t>
            </w:r>
            <w:r>
              <w:t xml:space="preserve"> - </w:t>
            </w:r>
            <w:r w:rsidRPr="0057105E">
              <w:t>Take the individual in fresh air. If problem in breathing, then give artificial respiration. Get immediate medical attention if breathing is difficult.</w:t>
            </w:r>
          </w:p>
          <w:p w14:paraId="5F18CE31" w14:textId="7B832F29" w:rsidR="0035557D" w:rsidRDefault="0035557D" w:rsidP="0035557D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57105E">
              <w:rPr>
                <w:u w:val="single"/>
              </w:rPr>
              <w:t>Ingestion</w:t>
            </w:r>
            <w:r>
              <w:t xml:space="preserve"> - </w:t>
            </w:r>
            <w:r w:rsidRPr="0057105E">
              <w:t xml:space="preserve">Dilute stomach with large quantity of water, if the person is in </w:t>
            </w:r>
            <w:r w:rsidR="00225E51">
              <w:t xml:space="preserve">a </w:t>
            </w:r>
            <w:r w:rsidRPr="0057105E">
              <w:t>conscious state. If unconscious, do not attempt to give anything by mouth. Get medical attention immediately.</w:t>
            </w:r>
          </w:p>
          <w:p w14:paraId="55AB1906" w14:textId="77777777" w:rsidR="0035557D" w:rsidRDefault="0035557D" w:rsidP="00042609">
            <w:pPr>
              <w:pStyle w:val="ListParagraph"/>
              <w:spacing w:after="120"/>
            </w:pPr>
          </w:p>
        </w:tc>
      </w:tr>
      <w:tr w:rsidR="0035557D" w:rsidRPr="00CA6F2E" w14:paraId="2167BE0D" w14:textId="77777777" w:rsidTr="00042609">
        <w:tc>
          <w:tcPr>
            <w:tcW w:w="9016" w:type="dxa"/>
          </w:tcPr>
          <w:p w14:paraId="34ED9746" w14:textId="77777777" w:rsidR="0035557D" w:rsidRPr="00E31E79" w:rsidRDefault="0035557D" w:rsidP="00042609">
            <w:pPr>
              <w:spacing w:after="120"/>
              <w:rPr>
                <w:b/>
              </w:rPr>
            </w:pPr>
            <w:r w:rsidRPr="00E31E79">
              <w:rPr>
                <w:b/>
              </w:rPr>
              <w:t>Section 5 - Fire-Fighting Measures</w:t>
            </w:r>
          </w:p>
          <w:p w14:paraId="19D130D9" w14:textId="77777777" w:rsidR="0035557D" w:rsidRDefault="0035557D" w:rsidP="00042609">
            <w:pPr>
              <w:spacing w:after="120"/>
            </w:pPr>
          </w:p>
          <w:p w14:paraId="094BB533" w14:textId="77777777" w:rsidR="0035557D" w:rsidRDefault="0035557D" w:rsidP="0035557D">
            <w:pPr>
              <w:pStyle w:val="ListParagraph"/>
              <w:numPr>
                <w:ilvl w:val="0"/>
                <w:numId w:val="4"/>
              </w:numPr>
              <w:spacing w:after="120"/>
            </w:pPr>
            <w:r w:rsidRPr="00E31E79">
              <w:rPr>
                <w:u w:val="single"/>
              </w:rPr>
              <w:t>Auto Ignition Temperature</w:t>
            </w:r>
            <w:r w:rsidRPr="00E31E79">
              <w:t xml:space="preserve"> </w:t>
            </w:r>
            <w:r>
              <w:t>–</w:t>
            </w:r>
            <w:r w:rsidRPr="00E31E79">
              <w:t xml:space="preserve"> Not determined </w:t>
            </w:r>
          </w:p>
          <w:p w14:paraId="38731A21" w14:textId="77777777" w:rsidR="0035557D" w:rsidRDefault="0035557D" w:rsidP="0035557D">
            <w:pPr>
              <w:pStyle w:val="ListParagraph"/>
              <w:numPr>
                <w:ilvl w:val="0"/>
                <w:numId w:val="4"/>
              </w:numPr>
              <w:spacing w:after="120"/>
            </w:pPr>
            <w:r w:rsidRPr="00E31E79">
              <w:rPr>
                <w:u w:val="single"/>
              </w:rPr>
              <w:t>Extinguishing Media</w:t>
            </w:r>
            <w:r w:rsidRPr="00E31E79">
              <w:t xml:space="preserve"> – Use water spray when fighting fires involving this material. </w:t>
            </w:r>
          </w:p>
          <w:p w14:paraId="32BE2B19" w14:textId="77777777" w:rsidR="0035557D" w:rsidRDefault="0035557D" w:rsidP="0035557D">
            <w:pPr>
              <w:pStyle w:val="ListParagraph"/>
              <w:numPr>
                <w:ilvl w:val="0"/>
                <w:numId w:val="4"/>
              </w:numPr>
              <w:spacing w:after="120"/>
            </w:pPr>
            <w:r w:rsidRPr="00E31E79">
              <w:rPr>
                <w:u w:val="single"/>
              </w:rPr>
              <w:t>Flash Point</w:t>
            </w:r>
            <w:r w:rsidRPr="00E31E79">
              <w:t xml:space="preserve">- NA  </w:t>
            </w:r>
          </w:p>
          <w:p w14:paraId="44882005" w14:textId="77777777" w:rsidR="0035557D" w:rsidRDefault="0035557D" w:rsidP="0035557D">
            <w:pPr>
              <w:pStyle w:val="ListParagraph"/>
              <w:numPr>
                <w:ilvl w:val="0"/>
                <w:numId w:val="4"/>
              </w:numPr>
              <w:spacing w:after="120"/>
            </w:pPr>
            <w:r w:rsidRPr="00E31E79">
              <w:rPr>
                <w:u w:val="single"/>
              </w:rPr>
              <w:t>Hazardous Combustion Product</w:t>
            </w:r>
            <w:r>
              <w:rPr>
                <w:u w:val="single"/>
              </w:rPr>
              <w:t xml:space="preserve"> </w:t>
            </w:r>
            <w:r w:rsidRPr="00E31E79">
              <w:t>- None</w:t>
            </w:r>
          </w:p>
          <w:p w14:paraId="354133AA" w14:textId="77777777" w:rsidR="0035557D" w:rsidRDefault="0035557D" w:rsidP="00042609">
            <w:pPr>
              <w:pStyle w:val="ListParagraph"/>
              <w:spacing w:after="120"/>
            </w:pPr>
          </w:p>
        </w:tc>
      </w:tr>
      <w:tr w:rsidR="0035557D" w:rsidRPr="00CA6F2E" w14:paraId="3BD61D4C" w14:textId="77777777" w:rsidTr="00042609">
        <w:tc>
          <w:tcPr>
            <w:tcW w:w="9016" w:type="dxa"/>
          </w:tcPr>
          <w:p w14:paraId="23F2C287" w14:textId="77777777" w:rsidR="0035557D" w:rsidRPr="00E31E79" w:rsidRDefault="0035557D" w:rsidP="00042609">
            <w:pPr>
              <w:spacing w:after="120"/>
              <w:rPr>
                <w:b/>
              </w:rPr>
            </w:pPr>
            <w:r w:rsidRPr="00E31E79">
              <w:rPr>
                <w:b/>
              </w:rPr>
              <w:t>Section 6 - Accidental Release Measures</w:t>
            </w:r>
          </w:p>
          <w:p w14:paraId="331D8BA9" w14:textId="77777777" w:rsidR="0035557D" w:rsidRDefault="0035557D" w:rsidP="00042609">
            <w:pPr>
              <w:spacing w:after="120"/>
            </w:pPr>
          </w:p>
          <w:p w14:paraId="0F83AB56" w14:textId="77777777" w:rsidR="0035557D" w:rsidRDefault="0035557D" w:rsidP="00042609">
            <w:pPr>
              <w:spacing w:after="120"/>
            </w:pPr>
            <w:r w:rsidRPr="00E31E79">
              <w:t xml:space="preserve">Collect leakage/spilled material and place it in a suitable waste container according to local /state regulations. Cleanse the contaminated surface by water.  </w:t>
            </w:r>
          </w:p>
          <w:p w14:paraId="4950CD05" w14:textId="77777777" w:rsidR="0035557D" w:rsidRDefault="0035557D" w:rsidP="00042609">
            <w:pPr>
              <w:spacing w:after="120"/>
            </w:pPr>
          </w:p>
        </w:tc>
      </w:tr>
      <w:tr w:rsidR="0035557D" w:rsidRPr="00CA6F2E" w14:paraId="7727B73F" w14:textId="77777777" w:rsidTr="00042609">
        <w:tc>
          <w:tcPr>
            <w:tcW w:w="9016" w:type="dxa"/>
          </w:tcPr>
          <w:p w14:paraId="202EB657" w14:textId="77777777" w:rsidR="0035557D" w:rsidRPr="00E31E79" w:rsidRDefault="0035557D" w:rsidP="00042609">
            <w:pPr>
              <w:spacing w:after="120"/>
              <w:rPr>
                <w:b/>
              </w:rPr>
            </w:pPr>
            <w:r w:rsidRPr="00E31E79">
              <w:rPr>
                <w:b/>
              </w:rPr>
              <w:t>Section 7 - Handling and Storage</w:t>
            </w:r>
          </w:p>
          <w:p w14:paraId="3B15F741" w14:textId="77777777" w:rsidR="0035557D" w:rsidRDefault="0035557D" w:rsidP="00042609">
            <w:pPr>
              <w:spacing w:after="120"/>
            </w:pPr>
          </w:p>
          <w:p w14:paraId="54BB55AC" w14:textId="7A3ED6B5" w:rsidR="0035557D" w:rsidRDefault="0035557D" w:rsidP="00042609">
            <w:pPr>
              <w:spacing w:after="120"/>
            </w:pPr>
            <w:r w:rsidRPr="00E31E79">
              <w:t>This product may produce airborne dust while handling. Handle in a way, which minimi</w:t>
            </w:r>
            <w:r w:rsidR="00225E51">
              <w:t>s</w:t>
            </w:r>
            <w:r w:rsidRPr="00E31E79">
              <w:t>es the generation of dust. Keep</w:t>
            </w:r>
            <w:r w:rsidR="00225E51">
              <w:t xml:space="preserve"> the</w:t>
            </w:r>
            <w:r w:rsidRPr="00E31E79">
              <w:t xml:space="preserve"> product away from heat and source of ignition. Do not breathe dust. Keep all the containers tightly closed and</w:t>
            </w:r>
            <w:r w:rsidR="00225E51">
              <w:t xml:space="preserve"> in a</w:t>
            </w:r>
            <w:r w:rsidRPr="00E31E79">
              <w:t xml:space="preserve"> cool ventilated area. Do not store above 40</w:t>
            </w:r>
            <w:r w:rsidRPr="00E31E79">
              <w:rPr>
                <w:rFonts w:ascii="Cambria Math" w:hAnsi="Cambria Math" w:cs="Cambria Math"/>
              </w:rPr>
              <w:t>℃</w:t>
            </w:r>
            <w:r w:rsidRPr="00E31E79">
              <w:t>.</w:t>
            </w:r>
          </w:p>
          <w:p w14:paraId="31D29841" w14:textId="77777777" w:rsidR="0035557D" w:rsidRDefault="0035557D" w:rsidP="00042609">
            <w:pPr>
              <w:spacing w:after="120"/>
            </w:pPr>
          </w:p>
        </w:tc>
      </w:tr>
      <w:tr w:rsidR="0035557D" w:rsidRPr="00CA6F2E" w14:paraId="19FAF00E" w14:textId="77777777" w:rsidTr="00042609">
        <w:tc>
          <w:tcPr>
            <w:tcW w:w="9016" w:type="dxa"/>
          </w:tcPr>
          <w:p w14:paraId="49ADF096" w14:textId="77777777" w:rsidR="0035557D" w:rsidRPr="00E31E79" w:rsidRDefault="0035557D" w:rsidP="00042609">
            <w:pPr>
              <w:rPr>
                <w:b/>
              </w:rPr>
            </w:pPr>
            <w:r w:rsidRPr="00E31E79">
              <w:rPr>
                <w:b/>
              </w:rPr>
              <w:lastRenderedPageBreak/>
              <w:t>Section 8 - Exposure Controls and Personal Protection</w:t>
            </w:r>
          </w:p>
          <w:p w14:paraId="30F37858" w14:textId="77777777" w:rsidR="0035557D" w:rsidRDefault="0035557D" w:rsidP="00042609"/>
          <w:p w14:paraId="075C973F" w14:textId="0D24CABB" w:rsidR="0035557D" w:rsidRDefault="0035557D" w:rsidP="0035557D">
            <w:pPr>
              <w:pStyle w:val="ListParagraph"/>
              <w:numPr>
                <w:ilvl w:val="0"/>
                <w:numId w:val="5"/>
              </w:numPr>
              <w:spacing w:after="120"/>
            </w:pPr>
            <w:r w:rsidRPr="00E31E79">
              <w:rPr>
                <w:u w:val="single"/>
              </w:rPr>
              <w:t>Ventilation</w:t>
            </w:r>
            <w:r>
              <w:rPr>
                <w:u w:val="single"/>
              </w:rPr>
              <w:t xml:space="preserve"> </w:t>
            </w:r>
            <w:r w:rsidRPr="00E31E79">
              <w:t>–</w:t>
            </w:r>
            <w:r>
              <w:t xml:space="preserve"> </w:t>
            </w:r>
            <w:r w:rsidR="008F6BEB">
              <w:t xml:space="preserve">Use of this product outdoors is recommended. If inhalation occurs it may cause a mild discomfort but will pass. If further irritation </w:t>
            </w:r>
            <w:proofErr w:type="gramStart"/>
            <w:r w:rsidR="008F6BEB">
              <w:t>occurs</w:t>
            </w:r>
            <w:proofErr w:type="gramEnd"/>
            <w:r w:rsidR="008F6BEB">
              <w:t xml:space="preserve"> please refer to a doctor.</w:t>
            </w:r>
          </w:p>
          <w:p w14:paraId="0D25D401" w14:textId="54E19D46" w:rsidR="009122E6" w:rsidRDefault="0035557D" w:rsidP="009122E6">
            <w:pPr>
              <w:pStyle w:val="ListParagraph"/>
              <w:numPr>
                <w:ilvl w:val="0"/>
                <w:numId w:val="5"/>
              </w:numPr>
              <w:spacing w:after="120"/>
            </w:pPr>
            <w:r w:rsidRPr="00E31E79">
              <w:rPr>
                <w:u w:val="single"/>
              </w:rPr>
              <w:t>Personal Protection</w:t>
            </w:r>
            <w:r w:rsidR="00F42633">
              <w:rPr>
                <w:u w:val="single"/>
              </w:rPr>
              <w:t xml:space="preserve"> Exposure standard CAS:9005-25-8</w:t>
            </w:r>
            <w:r>
              <w:t xml:space="preserve"> </w:t>
            </w:r>
            <w:r w:rsidR="009122E6">
              <w:t>–</w:t>
            </w:r>
            <w:r w:rsidR="00F42633">
              <w:t>Skin</w:t>
            </w:r>
            <w:r w:rsidR="00225E51">
              <w:t xml:space="preserve"> protection</w:t>
            </w:r>
            <w:r w:rsidR="009122E6">
              <w:t xml:space="preserve"> is not required</w:t>
            </w:r>
            <w:r w:rsidR="00F42633">
              <w:t xml:space="preserve"> under normal use </w:t>
            </w:r>
            <w:r w:rsidR="00225E51">
              <w:t>conditions</w:t>
            </w:r>
            <w:r w:rsidR="009122E6">
              <w:t xml:space="preserve">. This is a mild product with no side effects and is also Gluten free. </w:t>
            </w:r>
          </w:p>
          <w:p w14:paraId="08AE18D2" w14:textId="77777777" w:rsidR="0035557D" w:rsidRDefault="0035557D" w:rsidP="00042609">
            <w:pPr>
              <w:pStyle w:val="ListParagraph"/>
              <w:spacing w:after="120"/>
            </w:pPr>
          </w:p>
        </w:tc>
      </w:tr>
      <w:tr w:rsidR="0035557D" w:rsidRPr="00CA6F2E" w14:paraId="25A7E274" w14:textId="77777777" w:rsidTr="00042609">
        <w:tc>
          <w:tcPr>
            <w:tcW w:w="9016" w:type="dxa"/>
          </w:tcPr>
          <w:p w14:paraId="4AD812AA" w14:textId="77777777" w:rsidR="0035557D" w:rsidRPr="00E31E79" w:rsidRDefault="0035557D" w:rsidP="00042609">
            <w:pPr>
              <w:rPr>
                <w:b/>
              </w:rPr>
            </w:pPr>
            <w:r w:rsidRPr="00E31E79">
              <w:rPr>
                <w:b/>
              </w:rPr>
              <w:t>Section 9 - Physical and Chemical Properties</w:t>
            </w:r>
          </w:p>
          <w:p w14:paraId="5E50EBD5" w14:textId="77777777" w:rsidR="0035557D" w:rsidRDefault="0035557D" w:rsidP="00042609">
            <w:pPr>
              <w:spacing w:after="120"/>
            </w:pPr>
          </w:p>
          <w:p w14:paraId="61742FAE" w14:textId="77777777" w:rsidR="0035557D" w:rsidRDefault="0035557D" w:rsidP="00042609">
            <w:pPr>
              <w:spacing w:after="120"/>
            </w:pPr>
            <w:r w:rsidRPr="00E31E79">
              <w:rPr>
                <w:u w:val="single"/>
              </w:rPr>
              <w:t>Appearance</w:t>
            </w:r>
            <w:r>
              <w:t xml:space="preserve"> </w:t>
            </w:r>
            <w:r w:rsidRPr="00E31E79">
              <w:t xml:space="preserve">– Solid </w:t>
            </w:r>
          </w:p>
          <w:p w14:paraId="4156163B" w14:textId="77777777" w:rsidR="0035557D" w:rsidRDefault="0035557D" w:rsidP="00042609">
            <w:pPr>
              <w:spacing w:after="120"/>
            </w:pPr>
            <w:r w:rsidRPr="00E31E79">
              <w:rPr>
                <w:u w:val="single"/>
              </w:rPr>
              <w:t>Odour</w:t>
            </w:r>
            <w:r>
              <w:t xml:space="preserve"> </w:t>
            </w:r>
            <w:r w:rsidRPr="00E31E79">
              <w:t xml:space="preserve">- Characteristic </w:t>
            </w:r>
          </w:p>
          <w:p w14:paraId="1E9F9E1E" w14:textId="47DCBF98" w:rsidR="0035557D" w:rsidRDefault="0035557D" w:rsidP="00042609">
            <w:pPr>
              <w:spacing w:after="120"/>
            </w:pPr>
            <w:r w:rsidRPr="00E31E79">
              <w:rPr>
                <w:u w:val="single"/>
              </w:rPr>
              <w:t>Shades</w:t>
            </w:r>
            <w:r w:rsidRPr="00E31E79">
              <w:t>- Pink, Red, Purple, Royal Blue, Pistachio Green, Magenta, Orange, Yellow, Chrome, Violet, Ocean Blue, Parrot Green, Blu</w:t>
            </w:r>
            <w:r w:rsidR="00225E51">
              <w:t>e</w:t>
            </w:r>
            <w:r w:rsidRPr="00E31E79">
              <w:t xml:space="preserve">ish Green, Military Green, Black, White, Brown. </w:t>
            </w:r>
          </w:p>
          <w:p w14:paraId="6C819FB7" w14:textId="77777777" w:rsidR="0035557D" w:rsidRDefault="0035557D" w:rsidP="00042609">
            <w:pPr>
              <w:spacing w:after="120"/>
            </w:pPr>
            <w:r w:rsidRPr="00E31E79">
              <w:rPr>
                <w:u w:val="single"/>
              </w:rPr>
              <w:t>Boiling Point</w:t>
            </w:r>
            <w:r>
              <w:t xml:space="preserve"> </w:t>
            </w:r>
            <w:r w:rsidRPr="00E31E79">
              <w:t xml:space="preserve">- NA </w:t>
            </w:r>
          </w:p>
          <w:p w14:paraId="43D91FDF" w14:textId="77777777" w:rsidR="0035557D" w:rsidRDefault="0035557D" w:rsidP="00042609">
            <w:pPr>
              <w:spacing w:after="120"/>
            </w:pPr>
            <w:r w:rsidRPr="00E31E79">
              <w:rPr>
                <w:u w:val="single"/>
              </w:rPr>
              <w:t>Melting Point</w:t>
            </w:r>
            <w:r w:rsidRPr="00E31E79">
              <w:t xml:space="preserve">- NA </w:t>
            </w:r>
          </w:p>
          <w:p w14:paraId="7BA89988" w14:textId="77777777" w:rsidR="0035557D" w:rsidRDefault="0035557D" w:rsidP="00042609">
            <w:pPr>
              <w:spacing w:after="120"/>
            </w:pPr>
            <w:r w:rsidRPr="00E31E79">
              <w:rPr>
                <w:u w:val="single"/>
              </w:rPr>
              <w:t>Solubility in Water</w:t>
            </w:r>
            <w:r>
              <w:t xml:space="preserve"> </w:t>
            </w:r>
            <w:r w:rsidRPr="00E31E79">
              <w:t xml:space="preserve">–80% soluble in water </w:t>
            </w:r>
          </w:p>
          <w:p w14:paraId="0E16E95A" w14:textId="77777777" w:rsidR="0035557D" w:rsidRDefault="0035557D" w:rsidP="00042609">
            <w:pPr>
              <w:spacing w:after="120"/>
            </w:pPr>
            <w:r w:rsidRPr="00E31E79">
              <w:rPr>
                <w:u w:val="single"/>
              </w:rPr>
              <w:t xml:space="preserve">pH </w:t>
            </w:r>
            <w:r w:rsidRPr="00E31E79">
              <w:t>- 7.0</w:t>
            </w:r>
          </w:p>
          <w:p w14:paraId="2002C763" w14:textId="77777777" w:rsidR="0035557D" w:rsidRDefault="0035557D" w:rsidP="00042609">
            <w:pPr>
              <w:spacing w:after="120"/>
            </w:pPr>
          </w:p>
        </w:tc>
      </w:tr>
      <w:tr w:rsidR="0035557D" w:rsidRPr="00CA6F2E" w14:paraId="3DC39E3A" w14:textId="77777777" w:rsidTr="00042609">
        <w:tc>
          <w:tcPr>
            <w:tcW w:w="9016" w:type="dxa"/>
          </w:tcPr>
          <w:p w14:paraId="34A74C8A" w14:textId="77777777" w:rsidR="0035557D" w:rsidRPr="00E31E79" w:rsidRDefault="0035557D" w:rsidP="00042609">
            <w:pPr>
              <w:spacing w:after="120"/>
              <w:rPr>
                <w:b/>
              </w:rPr>
            </w:pPr>
            <w:r w:rsidRPr="00E31E79">
              <w:rPr>
                <w:b/>
              </w:rPr>
              <w:t>Section 10 - Stability and Reactivity</w:t>
            </w:r>
          </w:p>
          <w:p w14:paraId="11302027" w14:textId="77777777" w:rsidR="0035557D" w:rsidRPr="00E31E79" w:rsidRDefault="0035557D" w:rsidP="003555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E31E79">
              <w:rPr>
                <w:u w:val="single"/>
              </w:rPr>
              <w:t>Stability</w:t>
            </w:r>
            <w:r>
              <w:rPr>
                <w:u w:val="single"/>
              </w:rPr>
              <w:t xml:space="preserve"> </w:t>
            </w:r>
            <w:r w:rsidRPr="00E31E79">
              <w:t>– Stable if stored below 40</w:t>
            </w:r>
            <w:r w:rsidRPr="00E31E79">
              <w:rPr>
                <w:rFonts w:ascii="Cambria Math" w:hAnsi="Cambria Math" w:cs="Cambria Math"/>
              </w:rPr>
              <w:t>℃</w:t>
            </w:r>
            <w:r w:rsidRPr="00E31E79">
              <w:rPr>
                <w:u w:val="single"/>
              </w:rPr>
              <w:t xml:space="preserve"> </w:t>
            </w:r>
          </w:p>
          <w:p w14:paraId="7E4E3FB9" w14:textId="24A0A320" w:rsidR="0035557D" w:rsidRDefault="0035557D" w:rsidP="003555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E31E79">
              <w:rPr>
                <w:u w:val="single"/>
              </w:rPr>
              <w:t>Chemical Incompatibility</w:t>
            </w:r>
            <w:r>
              <w:t xml:space="preserve"> </w:t>
            </w:r>
            <w:r w:rsidRPr="00E31E79">
              <w:t>- Slightly reactive with oxidized agent</w:t>
            </w:r>
            <w:r w:rsidR="00225E51">
              <w:t>.</w:t>
            </w:r>
          </w:p>
          <w:p w14:paraId="1AEF87F5" w14:textId="3A282D3F" w:rsidR="0035557D" w:rsidRDefault="0035557D" w:rsidP="003555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E31E79">
              <w:rPr>
                <w:u w:val="single"/>
              </w:rPr>
              <w:t>Situations to avoid</w:t>
            </w:r>
            <w:r>
              <w:t xml:space="preserve"> </w:t>
            </w:r>
            <w:r w:rsidRPr="00E31E79">
              <w:t>- Avoid ex</w:t>
            </w:r>
            <w:r>
              <w:t>cess heat and oxidizing agents</w:t>
            </w:r>
            <w:r w:rsidR="00225E51">
              <w:t>.</w:t>
            </w:r>
          </w:p>
          <w:p w14:paraId="723F7D45" w14:textId="77777777" w:rsidR="0035557D" w:rsidRDefault="0035557D" w:rsidP="0035557D">
            <w:pPr>
              <w:pStyle w:val="ListParagraph"/>
              <w:numPr>
                <w:ilvl w:val="0"/>
                <w:numId w:val="6"/>
              </w:numPr>
              <w:spacing w:after="120"/>
            </w:pPr>
            <w:r w:rsidRPr="00E31E79">
              <w:rPr>
                <w:u w:val="single"/>
              </w:rPr>
              <w:t>Hazardous decomposition products</w:t>
            </w:r>
            <w:r w:rsidRPr="00E31E79">
              <w:t>– NA</w:t>
            </w:r>
          </w:p>
          <w:p w14:paraId="08B5B3E9" w14:textId="77777777" w:rsidR="0035557D" w:rsidRDefault="0035557D" w:rsidP="00042609">
            <w:pPr>
              <w:spacing w:after="120"/>
            </w:pPr>
          </w:p>
        </w:tc>
      </w:tr>
      <w:tr w:rsidR="0035557D" w:rsidRPr="00CA6F2E" w14:paraId="57D4E4C3" w14:textId="77777777" w:rsidTr="00042609">
        <w:tc>
          <w:tcPr>
            <w:tcW w:w="9016" w:type="dxa"/>
          </w:tcPr>
          <w:p w14:paraId="1499F3D6" w14:textId="77777777" w:rsidR="0035557D" w:rsidRPr="00E31E79" w:rsidRDefault="0035557D" w:rsidP="00042609">
            <w:pPr>
              <w:spacing w:after="120"/>
              <w:rPr>
                <w:b/>
              </w:rPr>
            </w:pPr>
            <w:r w:rsidRPr="00E31E79">
              <w:rPr>
                <w:b/>
              </w:rPr>
              <w:t>Section 11 - Toxicological Information</w:t>
            </w:r>
          </w:p>
          <w:p w14:paraId="712C0745" w14:textId="65DD7916" w:rsidR="0035557D" w:rsidRDefault="0035557D" w:rsidP="0035557D">
            <w:pPr>
              <w:pStyle w:val="ListParagraph"/>
              <w:numPr>
                <w:ilvl w:val="0"/>
                <w:numId w:val="7"/>
              </w:numPr>
              <w:spacing w:after="120"/>
            </w:pPr>
            <w:r w:rsidRPr="00E31E79">
              <w:rPr>
                <w:u w:val="single"/>
              </w:rPr>
              <w:t>Effect on Skin</w:t>
            </w:r>
            <w:r>
              <w:t xml:space="preserve"> </w:t>
            </w:r>
            <w:r w:rsidRPr="00E31E79">
              <w:t>–</w:t>
            </w:r>
            <w:r>
              <w:t xml:space="preserve"> </w:t>
            </w:r>
            <w:r w:rsidRPr="00E31E79">
              <w:t>This product is not lethal when applied</w:t>
            </w:r>
            <w:r w:rsidR="001F4FA1">
              <w:t>.</w:t>
            </w:r>
          </w:p>
          <w:p w14:paraId="411FDA8D" w14:textId="77777777" w:rsidR="0035557D" w:rsidRDefault="0035557D" w:rsidP="0035557D">
            <w:pPr>
              <w:pStyle w:val="ListParagraph"/>
              <w:numPr>
                <w:ilvl w:val="0"/>
                <w:numId w:val="7"/>
              </w:numPr>
              <w:spacing w:after="120"/>
            </w:pPr>
            <w:r w:rsidRPr="00E6726C">
              <w:rPr>
                <w:u w:val="single"/>
              </w:rPr>
              <w:t>Effect on Eyes</w:t>
            </w:r>
            <w:r>
              <w:t xml:space="preserve"> </w:t>
            </w:r>
            <w:r w:rsidRPr="00E31E79">
              <w:t>–</w:t>
            </w:r>
            <w:r>
              <w:t xml:space="preserve"> </w:t>
            </w:r>
            <w:r w:rsidRPr="00E31E79">
              <w:t xml:space="preserve">Slight irritation if excess colour exposed into eyes. </w:t>
            </w:r>
          </w:p>
          <w:p w14:paraId="7E10300E" w14:textId="2B9A238A" w:rsidR="0035557D" w:rsidRDefault="0035557D" w:rsidP="0035557D">
            <w:pPr>
              <w:pStyle w:val="ListParagraph"/>
              <w:numPr>
                <w:ilvl w:val="0"/>
                <w:numId w:val="7"/>
              </w:numPr>
              <w:spacing w:after="120"/>
            </w:pPr>
            <w:r w:rsidRPr="00E6726C">
              <w:rPr>
                <w:u w:val="single"/>
              </w:rPr>
              <w:t>Inhalation Effect</w:t>
            </w:r>
            <w:r>
              <w:t xml:space="preserve"> </w:t>
            </w:r>
            <w:r w:rsidRPr="00E31E79">
              <w:t>–</w:t>
            </w:r>
            <w:r>
              <w:t xml:space="preserve"> </w:t>
            </w:r>
            <w:r w:rsidRPr="00E31E79">
              <w:t>This product is nontoxic by inhalation</w:t>
            </w:r>
            <w:r w:rsidR="001F4FA1">
              <w:t>.</w:t>
            </w:r>
          </w:p>
          <w:p w14:paraId="4E108B50" w14:textId="5ED8F8E7" w:rsidR="0035557D" w:rsidRDefault="0035557D" w:rsidP="0035557D">
            <w:pPr>
              <w:pStyle w:val="ListParagraph"/>
              <w:numPr>
                <w:ilvl w:val="0"/>
                <w:numId w:val="7"/>
              </w:numPr>
              <w:spacing w:after="120"/>
            </w:pPr>
            <w:r w:rsidRPr="00E6726C">
              <w:rPr>
                <w:u w:val="single"/>
              </w:rPr>
              <w:t>Chronic Effects</w:t>
            </w:r>
            <w:r>
              <w:t xml:space="preserve"> </w:t>
            </w:r>
            <w:r w:rsidRPr="00E31E79">
              <w:t xml:space="preserve">- Carcinogenic material </w:t>
            </w:r>
            <w:r w:rsidR="00225E51">
              <w:t>are</w:t>
            </w:r>
            <w:r w:rsidRPr="00E31E79">
              <w:t xml:space="preserve"> not found in </w:t>
            </w:r>
            <w:r w:rsidR="00225E51">
              <w:t>this</w:t>
            </w:r>
            <w:r w:rsidRPr="00E31E79">
              <w:t xml:space="preserve"> product</w:t>
            </w:r>
            <w:r w:rsidR="00662DA9">
              <w:t>.</w:t>
            </w:r>
          </w:p>
          <w:p w14:paraId="2040C0DD" w14:textId="77777777" w:rsidR="00662DA9" w:rsidRDefault="00662DA9" w:rsidP="00662DA9">
            <w:pPr>
              <w:spacing w:after="120"/>
            </w:pPr>
          </w:p>
          <w:p w14:paraId="6BBD4A36" w14:textId="77777777" w:rsidR="0035557D" w:rsidRDefault="0035557D" w:rsidP="00042609">
            <w:pPr>
              <w:spacing w:after="120"/>
            </w:pPr>
          </w:p>
        </w:tc>
      </w:tr>
      <w:tr w:rsidR="0035557D" w:rsidRPr="00CA6F2E" w14:paraId="48BE9264" w14:textId="77777777" w:rsidTr="00042609">
        <w:tc>
          <w:tcPr>
            <w:tcW w:w="9016" w:type="dxa"/>
          </w:tcPr>
          <w:p w14:paraId="1D590374" w14:textId="77777777" w:rsidR="0035557D" w:rsidRDefault="0035557D" w:rsidP="00042609">
            <w:pPr>
              <w:spacing w:after="120"/>
              <w:rPr>
                <w:b/>
              </w:rPr>
            </w:pPr>
            <w:r w:rsidRPr="00E31E79">
              <w:rPr>
                <w:b/>
              </w:rPr>
              <w:lastRenderedPageBreak/>
              <w:t>Section 12 - Ecological Information</w:t>
            </w:r>
          </w:p>
          <w:p w14:paraId="7AE64138" w14:textId="77777777" w:rsidR="0035557D" w:rsidRPr="00E31E79" w:rsidRDefault="0035557D" w:rsidP="00042609">
            <w:pPr>
              <w:spacing w:after="120"/>
              <w:rPr>
                <w:b/>
              </w:rPr>
            </w:pPr>
          </w:p>
          <w:p w14:paraId="6E60F781" w14:textId="1D864A84" w:rsidR="0035557D" w:rsidRDefault="0035557D" w:rsidP="00042609">
            <w:pPr>
              <w:spacing w:after="120"/>
            </w:pPr>
            <w:r w:rsidRPr="00E31E79">
              <w:t>This product is non-toxic, non-hazardous and de-gradable product. This product is not known to cause adverse effect</w:t>
            </w:r>
            <w:r w:rsidR="00225E51">
              <w:t>s</w:t>
            </w:r>
            <w:r w:rsidRPr="00E31E79">
              <w:t xml:space="preserve"> on</w:t>
            </w:r>
            <w:r w:rsidR="00225E51">
              <w:t xml:space="preserve"> the</w:t>
            </w:r>
            <w:r w:rsidRPr="00E31E79">
              <w:t xml:space="preserve"> environment.</w:t>
            </w:r>
          </w:p>
          <w:p w14:paraId="1903FAF0" w14:textId="77777777" w:rsidR="0035557D" w:rsidRDefault="0035557D" w:rsidP="00042609">
            <w:pPr>
              <w:spacing w:after="120"/>
            </w:pPr>
          </w:p>
        </w:tc>
      </w:tr>
      <w:tr w:rsidR="0035557D" w:rsidRPr="00CA6F2E" w14:paraId="04747480" w14:textId="77777777" w:rsidTr="00042609">
        <w:tc>
          <w:tcPr>
            <w:tcW w:w="9016" w:type="dxa"/>
          </w:tcPr>
          <w:p w14:paraId="5202F1ED" w14:textId="77777777" w:rsidR="0035557D" w:rsidRPr="00E6726C" w:rsidRDefault="0035557D" w:rsidP="00042609">
            <w:pPr>
              <w:spacing w:after="120"/>
              <w:rPr>
                <w:b/>
              </w:rPr>
            </w:pPr>
            <w:r w:rsidRPr="00E6726C">
              <w:rPr>
                <w:b/>
              </w:rPr>
              <w:t>Section 13 - Disposal Considerations</w:t>
            </w:r>
          </w:p>
          <w:p w14:paraId="5607E4A4" w14:textId="27523034" w:rsidR="0035557D" w:rsidRDefault="0035557D" w:rsidP="00042609">
            <w:pPr>
              <w:spacing w:after="120"/>
            </w:pPr>
            <w:r w:rsidRPr="00E6726C">
              <w:t>Dispose</w:t>
            </w:r>
            <w:r w:rsidR="00225E51">
              <w:t xml:space="preserve"> of</w:t>
            </w:r>
            <w:r w:rsidRPr="00E6726C">
              <w:t xml:space="preserve"> the waste as per state/local regulations.</w:t>
            </w:r>
            <w:r>
              <w:t xml:space="preserve"> This product is safe for landfill</w:t>
            </w:r>
            <w:r w:rsidR="00225E51">
              <w:t>.</w:t>
            </w:r>
          </w:p>
          <w:p w14:paraId="07DB55BA" w14:textId="77777777" w:rsidR="0035557D" w:rsidRDefault="0035557D" w:rsidP="00042609">
            <w:pPr>
              <w:spacing w:after="120"/>
            </w:pPr>
          </w:p>
        </w:tc>
      </w:tr>
      <w:tr w:rsidR="0035557D" w:rsidRPr="00CA6F2E" w14:paraId="34A59ADB" w14:textId="77777777" w:rsidTr="00042609">
        <w:tc>
          <w:tcPr>
            <w:tcW w:w="9016" w:type="dxa"/>
          </w:tcPr>
          <w:p w14:paraId="02A60142" w14:textId="77777777" w:rsidR="0035557D" w:rsidRPr="00E6726C" w:rsidRDefault="0035557D" w:rsidP="00042609">
            <w:pPr>
              <w:spacing w:after="120"/>
              <w:rPr>
                <w:b/>
              </w:rPr>
            </w:pPr>
            <w:r w:rsidRPr="00E6726C">
              <w:rPr>
                <w:b/>
              </w:rPr>
              <w:t>Section 14 - Transport Information</w:t>
            </w:r>
          </w:p>
          <w:p w14:paraId="358B01A4" w14:textId="70AE146F" w:rsidR="0035557D" w:rsidRDefault="0035557D" w:rsidP="00042609">
            <w:pPr>
              <w:spacing w:after="120"/>
              <w:ind w:left="720"/>
            </w:pPr>
            <w:r w:rsidRPr="00E6726C">
              <w:rPr>
                <w:u w:val="single"/>
              </w:rPr>
              <w:t>Packing</w:t>
            </w:r>
            <w:r w:rsidRPr="00E6726C">
              <w:t xml:space="preserve"> – Transparent plastic pouches, plastic drums</w:t>
            </w:r>
            <w:r w:rsidR="00225E51">
              <w:t xml:space="preserve"> and</w:t>
            </w:r>
            <w:r w:rsidRPr="00E6726C">
              <w:t xml:space="preserve"> fibre drums. </w:t>
            </w:r>
          </w:p>
          <w:p w14:paraId="30CAC10E" w14:textId="13B3900B" w:rsidR="0035557D" w:rsidRDefault="0035557D" w:rsidP="00042609">
            <w:pPr>
              <w:spacing w:after="120"/>
              <w:ind w:left="720"/>
            </w:pPr>
            <w:r w:rsidRPr="00E6726C">
              <w:rPr>
                <w:u w:val="single"/>
              </w:rPr>
              <w:t xml:space="preserve">Label </w:t>
            </w:r>
            <w:r w:rsidRPr="00E6726C">
              <w:t>-For external application only</w:t>
            </w:r>
            <w:r w:rsidR="00225E51">
              <w:t>.</w:t>
            </w:r>
            <w:r w:rsidRPr="00E6726C">
              <w:t xml:space="preserve"> </w:t>
            </w:r>
          </w:p>
          <w:p w14:paraId="24643DDA" w14:textId="545C5762" w:rsidR="0035557D" w:rsidRDefault="0035557D" w:rsidP="00225E51">
            <w:pPr>
              <w:spacing w:after="120"/>
              <w:ind w:left="720"/>
            </w:pPr>
            <w:r w:rsidRPr="00E6726C">
              <w:rPr>
                <w:u w:val="single"/>
              </w:rPr>
              <w:t>Shipping</w:t>
            </w:r>
            <w:r w:rsidRPr="00E6726C">
              <w:t xml:space="preserve"> – By road</w:t>
            </w:r>
            <w:r w:rsidR="00225E51">
              <w:t>,</w:t>
            </w:r>
            <w:r w:rsidRPr="00E6726C">
              <w:t xml:space="preserve"> sea </w:t>
            </w:r>
            <w:r w:rsidR="00225E51">
              <w:t>and air.</w:t>
            </w:r>
            <w:r w:rsidRPr="00E6726C">
              <w:t xml:space="preserve"> </w:t>
            </w:r>
          </w:p>
        </w:tc>
      </w:tr>
      <w:tr w:rsidR="0035557D" w:rsidRPr="00CA6F2E" w14:paraId="5E7B75DE" w14:textId="77777777" w:rsidTr="00042609">
        <w:tc>
          <w:tcPr>
            <w:tcW w:w="9016" w:type="dxa"/>
          </w:tcPr>
          <w:p w14:paraId="5032820C" w14:textId="77777777" w:rsidR="0035557D" w:rsidRPr="00E6726C" w:rsidRDefault="0035557D" w:rsidP="00042609">
            <w:pPr>
              <w:spacing w:after="120"/>
              <w:rPr>
                <w:b/>
              </w:rPr>
            </w:pPr>
            <w:r w:rsidRPr="00E6726C">
              <w:rPr>
                <w:b/>
              </w:rPr>
              <w:t>Section 15 - Regulatory Information</w:t>
            </w:r>
          </w:p>
          <w:p w14:paraId="3CB3F2EE" w14:textId="77777777" w:rsidR="0035557D" w:rsidRDefault="0035557D" w:rsidP="00042609">
            <w:pPr>
              <w:spacing w:after="120"/>
              <w:ind w:left="720"/>
            </w:pPr>
            <w:r w:rsidRPr="00E6726C">
              <w:t>Not Applicable</w:t>
            </w:r>
          </w:p>
        </w:tc>
      </w:tr>
      <w:tr w:rsidR="0035557D" w:rsidRPr="00CA6F2E" w14:paraId="320F4EE8" w14:textId="77777777" w:rsidTr="00042609">
        <w:tc>
          <w:tcPr>
            <w:tcW w:w="9016" w:type="dxa"/>
          </w:tcPr>
          <w:p w14:paraId="4165A495" w14:textId="77777777" w:rsidR="009D5C48" w:rsidRDefault="0035557D" w:rsidP="00042609">
            <w:pPr>
              <w:spacing w:after="120"/>
              <w:rPr>
                <w:b/>
              </w:rPr>
            </w:pPr>
            <w:r w:rsidRPr="00E6726C">
              <w:rPr>
                <w:b/>
              </w:rPr>
              <w:t>Section 16 - Any other relevant Information</w:t>
            </w:r>
          </w:p>
          <w:p w14:paraId="6F552F95" w14:textId="409CC63E" w:rsidR="0035557D" w:rsidRDefault="0035557D" w:rsidP="00225E51">
            <w:pPr>
              <w:spacing w:after="120"/>
            </w:pPr>
            <w:r w:rsidRPr="00E6726C">
              <w:t xml:space="preserve"> Al</w:t>
            </w:r>
            <w:r w:rsidR="00951E83">
              <w:t>l the data and information</w:t>
            </w:r>
            <w:r w:rsidR="009D5C48">
              <w:t xml:space="preserve"> on this</w:t>
            </w:r>
            <w:r w:rsidR="00951E83">
              <w:t xml:space="preserve"> sheet is based on our</w:t>
            </w:r>
            <w:r w:rsidRPr="00E6726C">
              <w:t xml:space="preserve"> knowledge, study and researc</w:t>
            </w:r>
            <w:r w:rsidR="00951E83">
              <w:t>h from reliable sources</w:t>
            </w:r>
            <w:r w:rsidRPr="00E6726C">
              <w:t xml:space="preserve"> and are believed to</w:t>
            </w:r>
            <w:r w:rsidR="00951E83">
              <w:t xml:space="preserve"> be</w:t>
            </w:r>
            <w:r w:rsidRPr="00E6726C">
              <w:t xml:space="preserve"> accurate. Th</w:t>
            </w:r>
            <w:r w:rsidR="00951E83">
              <w:t>is information is</w:t>
            </w:r>
            <w:r w:rsidRPr="00E6726C">
              <w:t xml:space="preserve"> applied to our product only</w:t>
            </w:r>
            <w:r w:rsidR="00225E51">
              <w:t>.</w:t>
            </w:r>
          </w:p>
        </w:tc>
      </w:tr>
    </w:tbl>
    <w:p w14:paraId="1052E3CA" w14:textId="77777777" w:rsidR="00FE1A1B" w:rsidRDefault="00FE1A1B"/>
    <w:p w14:paraId="5114EC00" w14:textId="168A116D" w:rsidR="0035557D" w:rsidRDefault="0035557D" w:rsidP="0035557D">
      <w:r>
        <w:t xml:space="preserve">Date of Issue: </w:t>
      </w:r>
      <w:r w:rsidR="00D7369D">
        <w:t>25</w:t>
      </w:r>
      <w:r w:rsidR="00547601">
        <w:t>/</w:t>
      </w:r>
      <w:r w:rsidR="00D7369D">
        <w:t>10</w:t>
      </w:r>
      <w:r w:rsidR="00B168E4">
        <w:t>/202</w:t>
      </w:r>
      <w:r w:rsidR="00C63F36">
        <w:t>3</w:t>
      </w:r>
    </w:p>
    <w:p w14:paraId="3E613033" w14:textId="3D26FF0A" w:rsidR="00F42633" w:rsidRPr="00F42633" w:rsidRDefault="00547601" w:rsidP="0035557D">
      <w:pPr>
        <w:rPr>
          <w:rFonts w:ascii="Kunstler Script" w:hAnsi="Kunstler Script"/>
          <w:sz w:val="52"/>
          <w:szCs w:val="52"/>
        </w:rPr>
      </w:pPr>
      <w:r w:rsidRPr="00547601">
        <w:rPr>
          <w:rFonts w:ascii="Kunstler Script" w:hAnsi="Kunstler Script"/>
          <w:sz w:val="52"/>
          <w:szCs w:val="52"/>
        </w:rPr>
        <w:t>C. Bagnall</w:t>
      </w:r>
    </w:p>
    <w:p w14:paraId="653A83B6" w14:textId="2835C26D" w:rsidR="0035557D" w:rsidRDefault="0035557D" w:rsidP="0035557D">
      <w:r>
        <w:t>Authorised Signatory</w:t>
      </w:r>
    </w:p>
    <w:p w14:paraId="31708C84" w14:textId="0A4032A2" w:rsidR="00CD6A63" w:rsidRDefault="00CD6A63" w:rsidP="0035557D">
      <w:r>
        <w:t>Chris Bagnall (CEO and Director) License to test according to Department of Mines and Energy since 2008</w:t>
      </w:r>
    </w:p>
    <w:p w14:paraId="5D49F7B0" w14:textId="19EC06C9" w:rsidR="00B168E4" w:rsidRDefault="00F42633" w:rsidP="00F42633">
      <w:pPr>
        <w:tabs>
          <w:tab w:val="left" w:pos="2895"/>
        </w:tabs>
      </w:pPr>
      <w:r>
        <w:tab/>
      </w:r>
    </w:p>
    <w:sectPr w:rsidR="00B168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63E4A" w14:textId="77777777" w:rsidR="00591ED8" w:rsidRDefault="00591ED8" w:rsidP="00DA163F">
      <w:pPr>
        <w:spacing w:after="0" w:line="240" w:lineRule="auto"/>
      </w:pPr>
      <w:r>
        <w:separator/>
      </w:r>
    </w:p>
  </w:endnote>
  <w:endnote w:type="continuationSeparator" w:id="0">
    <w:p w14:paraId="278C1929" w14:textId="77777777" w:rsidR="00591ED8" w:rsidRDefault="00591ED8" w:rsidP="00DA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148D1" w14:textId="77777777" w:rsidR="00591ED8" w:rsidRDefault="00591ED8" w:rsidP="00DA163F">
      <w:pPr>
        <w:spacing w:after="0" w:line="240" w:lineRule="auto"/>
      </w:pPr>
      <w:r>
        <w:separator/>
      </w:r>
    </w:p>
  </w:footnote>
  <w:footnote w:type="continuationSeparator" w:id="0">
    <w:p w14:paraId="23D4211E" w14:textId="77777777" w:rsidR="00591ED8" w:rsidRDefault="00591ED8" w:rsidP="00DA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8BD54" w14:textId="77777777" w:rsidR="00DA163F" w:rsidRDefault="00DA163F" w:rsidP="00DA163F">
    <w:pPr>
      <w:pStyle w:val="Header"/>
      <w:tabs>
        <w:tab w:val="left" w:pos="5970"/>
      </w:tabs>
    </w:pPr>
    <w:r>
      <w:rPr>
        <w:noProof/>
        <w:lang w:eastAsia="en-AU"/>
      </w:rPr>
      <w:drawing>
        <wp:inline distT="0" distB="0" distL="0" distR="0" wp14:anchorId="6D89A397" wp14:editId="5455C061">
          <wp:extent cx="3143250" cy="1457326"/>
          <wp:effectExtent l="0" t="0" r="0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457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EB41D06" w14:textId="0CE28B0A" w:rsidR="00DA163F" w:rsidRDefault="00BC0FF8" w:rsidP="00DA163F">
    <w:pPr>
      <w:pStyle w:val="Header"/>
      <w:tabs>
        <w:tab w:val="left" w:pos="5970"/>
      </w:tabs>
    </w:pPr>
    <w:r>
      <w:t>1224 Lytton R</w:t>
    </w:r>
    <w:r w:rsidR="00D7369D">
      <w:t>d</w:t>
    </w:r>
    <w:r w:rsidR="00DA163F">
      <w:t xml:space="preserve">, Hemmant, Queensland, 4174                      </w:t>
    </w:r>
    <w:r w:rsidR="00D7369D">
      <w:t xml:space="preserve">   </w:t>
    </w:r>
    <w:r w:rsidR="00DA163F">
      <w:t xml:space="preserve">   </w:t>
    </w:r>
    <w:r w:rsidR="00DA163F" w:rsidRPr="00DA163F">
      <w:rPr>
        <w:rFonts w:ascii="Arial Black" w:hAnsi="Arial Black"/>
        <w:sz w:val="28"/>
        <w:szCs w:val="28"/>
      </w:rPr>
      <w:t>www.stagefx.com.au</w:t>
    </w:r>
  </w:p>
  <w:p w14:paraId="3ECA6365" w14:textId="77777777" w:rsidR="0035557D" w:rsidRDefault="00DA163F" w:rsidP="00DA163F">
    <w:pPr>
      <w:pStyle w:val="Header"/>
      <w:tabs>
        <w:tab w:val="left" w:pos="5970"/>
      </w:tabs>
    </w:pPr>
    <w:r>
      <w:t xml:space="preserve">                               Ph: 07 3348 8089   </w:t>
    </w:r>
  </w:p>
  <w:p w14:paraId="7553E8F6" w14:textId="77777777" w:rsidR="0035557D" w:rsidRDefault="0035557D" w:rsidP="00DA163F">
    <w:pPr>
      <w:pStyle w:val="Header"/>
      <w:tabs>
        <w:tab w:val="left" w:pos="5970"/>
      </w:tabs>
    </w:pPr>
  </w:p>
  <w:p w14:paraId="2F1D2C50" w14:textId="77777777" w:rsidR="00DA163F" w:rsidRPr="0035557D" w:rsidRDefault="0035557D" w:rsidP="00DA163F">
    <w:pPr>
      <w:pStyle w:val="Header"/>
      <w:tabs>
        <w:tab w:val="left" w:pos="5970"/>
      </w:tabs>
      <w:rPr>
        <w:rFonts w:ascii="Arial Black" w:hAnsi="Arial Black"/>
      </w:rPr>
    </w:pPr>
    <w:r w:rsidRPr="0035557D">
      <w:rPr>
        <w:rFonts w:ascii="Arial Black" w:hAnsi="Arial Black"/>
      </w:rPr>
      <w:t>Safety Data Sheet</w:t>
    </w:r>
    <w:r w:rsidR="00DA163F" w:rsidRPr="0035557D">
      <w:rPr>
        <w:rFonts w:ascii="Arial Black" w:hAnsi="Arial Black"/>
      </w:rPr>
      <w:t xml:space="preserve">                                                                                  </w:t>
    </w:r>
    <w:r w:rsidR="00DA163F" w:rsidRPr="0035557D"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562"/>
    <w:multiLevelType w:val="hybridMultilevel"/>
    <w:tmpl w:val="05DAC9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7106"/>
    <w:multiLevelType w:val="hybridMultilevel"/>
    <w:tmpl w:val="D390C9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05B6"/>
    <w:multiLevelType w:val="hybridMultilevel"/>
    <w:tmpl w:val="6E9CE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C499C"/>
    <w:multiLevelType w:val="hybridMultilevel"/>
    <w:tmpl w:val="05DAC9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D413B"/>
    <w:multiLevelType w:val="hybridMultilevel"/>
    <w:tmpl w:val="2FFA03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03005"/>
    <w:multiLevelType w:val="hybridMultilevel"/>
    <w:tmpl w:val="05DAC9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06386"/>
    <w:multiLevelType w:val="hybridMultilevel"/>
    <w:tmpl w:val="1194AE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87081">
    <w:abstractNumId w:val="0"/>
  </w:num>
  <w:num w:numId="2" w16cid:durableId="831792987">
    <w:abstractNumId w:val="3"/>
  </w:num>
  <w:num w:numId="3" w16cid:durableId="2110540051">
    <w:abstractNumId w:val="5"/>
  </w:num>
  <w:num w:numId="4" w16cid:durableId="423117104">
    <w:abstractNumId w:val="2"/>
  </w:num>
  <w:num w:numId="5" w16cid:durableId="374038096">
    <w:abstractNumId w:val="1"/>
  </w:num>
  <w:num w:numId="6" w16cid:durableId="397284216">
    <w:abstractNumId w:val="4"/>
  </w:num>
  <w:num w:numId="7" w16cid:durableId="514273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3F"/>
    <w:rsid w:val="00153A47"/>
    <w:rsid w:val="001F4FA1"/>
    <w:rsid w:val="00225E51"/>
    <w:rsid w:val="00324ACF"/>
    <w:rsid w:val="0035557D"/>
    <w:rsid w:val="00365044"/>
    <w:rsid w:val="0037504A"/>
    <w:rsid w:val="00547601"/>
    <w:rsid w:val="00591ED8"/>
    <w:rsid w:val="00593377"/>
    <w:rsid w:val="00662DA9"/>
    <w:rsid w:val="00671166"/>
    <w:rsid w:val="008F6BEB"/>
    <w:rsid w:val="009122E6"/>
    <w:rsid w:val="00951E83"/>
    <w:rsid w:val="009D5C48"/>
    <w:rsid w:val="009D7E4F"/>
    <w:rsid w:val="00B168E4"/>
    <w:rsid w:val="00B3330C"/>
    <w:rsid w:val="00BC0FF8"/>
    <w:rsid w:val="00C445B8"/>
    <w:rsid w:val="00C63F36"/>
    <w:rsid w:val="00C97409"/>
    <w:rsid w:val="00CD6A63"/>
    <w:rsid w:val="00CE0264"/>
    <w:rsid w:val="00D7369D"/>
    <w:rsid w:val="00DA163F"/>
    <w:rsid w:val="00EF71E0"/>
    <w:rsid w:val="00F42633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E12"/>
  <w15:docId w15:val="{CD4A463E-8505-47D7-A911-1B6062CF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3F"/>
  </w:style>
  <w:style w:type="paragraph" w:styleId="Footer">
    <w:name w:val="footer"/>
    <w:basedOn w:val="Normal"/>
    <w:link w:val="FooterChar"/>
    <w:uiPriority w:val="99"/>
    <w:unhideWhenUsed/>
    <w:rsid w:val="00DA1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3F"/>
  </w:style>
  <w:style w:type="paragraph" w:styleId="BalloonText">
    <w:name w:val="Balloon Text"/>
    <w:basedOn w:val="Normal"/>
    <w:link w:val="BalloonTextChar"/>
    <w:uiPriority w:val="99"/>
    <w:semiHidden/>
    <w:unhideWhenUsed/>
    <w:rsid w:val="00DA1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6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 Bagnall</cp:lastModifiedBy>
  <cp:revision>3</cp:revision>
  <cp:lastPrinted>2020-03-12T05:46:00Z</cp:lastPrinted>
  <dcterms:created xsi:type="dcterms:W3CDTF">2023-02-01T02:44:00Z</dcterms:created>
  <dcterms:modified xsi:type="dcterms:W3CDTF">2024-02-13T22:53:00Z</dcterms:modified>
</cp:coreProperties>
</file>